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-2610/202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Ирины Анатольевны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родившейся </w:t>
      </w:r>
      <w:r>
        <w:rPr>
          <w:rStyle w:val="cat-UserDefinedgrp-31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UserDefinedgrp-3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проживающей по адресу: </w:t>
      </w:r>
      <w:r>
        <w:rPr>
          <w:rStyle w:val="cat-User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являющейся </w:t>
      </w:r>
      <w:r>
        <w:rPr>
          <w:rStyle w:val="cat-UserDefinedgrp-3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</w:t>
      </w:r>
      <w:r>
        <w:rPr>
          <w:rFonts w:ascii="Times New Roman" w:eastAsia="Times New Roman" w:hAnsi="Times New Roman" w:cs="Times New Roman"/>
          <w:sz w:val="27"/>
          <w:szCs w:val="27"/>
        </w:rPr>
        <w:t>года от налогоплательщика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2023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</w:t>
      </w:r>
      <w:r>
        <w:rPr>
          <w:rFonts w:ascii="Times New Roman" w:eastAsia="Times New Roman" w:hAnsi="Times New Roman" w:cs="Times New Roman"/>
          <w:sz w:val="27"/>
          <w:szCs w:val="27"/>
        </w:rPr>
        <w:t>месяц</w:t>
      </w:r>
      <w:r>
        <w:rPr>
          <w:rFonts w:ascii="Times New Roman" w:eastAsia="Times New Roman" w:hAnsi="Times New Roman" w:cs="Times New Roman"/>
          <w:sz w:val="27"/>
          <w:szCs w:val="27"/>
        </w:rPr>
        <w:t>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2023 года 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7 ст. 431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>, будучи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(п. 6 постановления Пленума ВС РФ от 24.03.2005 г. № 5), 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о причинах неявки не уведомил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. Мировой судья на основании ч.2 ст. 25.1 КоАП РФ считает возможным рассмотреть дело в его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0900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.02.2024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отправления.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Стюковой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</w:t>
      </w:r>
      <w:r>
        <w:rPr>
          <w:rFonts w:ascii="Times New Roman" w:eastAsia="Times New Roman" w:hAnsi="Times New Roman" w:cs="Times New Roman"/>
          <w:sz w:val="27"/>
          <w:szCs w:val="27"/>
        </w:rPr>
        <w:t>выявлено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>, ранее привлекавшейся к административной ответственности за аналогичное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(дело № 5-265-2603/2023)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Стюковой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И.А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санкцией ст. 15.5 Ко 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Стюкову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Ирину Анатольевну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штрафа в размере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0,00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>
        <w:rPr>
          <w:rFonts w:ascii="Times New Roman" w:eastAsia="Times New Roman" w:hAnsi="Times New Roman" w:cs="Times New Roman"/>
        </w:rPr>
        <w:t>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0412365400585008532415145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Е.П. Король 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8226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4AAD-CD49-4526-AC1E-9FA23F264E9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